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2290.xml.htm"/>
      <w:bookmarkStart w:id="1" w:name="kswkform4_1780692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Hauwermeiren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DENALI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 OYSTER POINT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Denali Therapeutics Inc.</w:t>
              </w:r>
            </w:hyperlink>
            <w:r>
              <w:rPr/>
              <w:t xml:space="preserve"> [ </w:t>
            </w:r>
            <w:r>
              <w:rPr>
                <w:rFonts w:ascii="Times;serif" w:hAnsi="Times;serif"/>
                <w:color w:val="0000FF"/>
                <w:sz w:val="24"/>
                <w:shd w:fill="FFFFFF" w:val="clear"/>
              </w:rPr>
              <w:t>DNLI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17,040</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17,040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subject to the option shall vest upon the earlier of (i) the one year anniversary of the grant date or (ii) the day preceding the Issuer's next annual meeting of stockholders occurring after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Nielsen,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206" TargetMode="External"/><Relationship Id="rId5" Type="http://schemas.openxmlformats.org/officeDocument/2006/relationships/hyperlink" Target="http://www.sec.gov/cgi-bin/browse-edgar?action=getcompany&amp;CIK=00017148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3669</Characters>
  <CharactersWithSpaces>4290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