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48" w:lineRule="exact"/>
        <w:rPr>
          <w:sz w:val="24"/>
          <w:szCs w:val="24"/>
          <w:color w:val="auto"/>
        </w:rPr>
      </w:pPr>
    </w:p>
    <w:p>
      <w:pPr>
        <w:ind w:right="6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4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6" w:lineRule="exact"/>
        <w:rPr>
          <w:sz w:val="24"/>
          <w:szCs w:val="24"/>
          <w:color w:val="auto"/>
        </w:rPr>
      </w:pPr>
    </w:p>
    <w:p>
      <w:pPr>
        <w:ind w:left="20" w:right="14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8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On June 3, 2026, Denali Therapeutics Inc. (the “Company”) held its annual meeting of stockholders. Of the 158,675,498 shares of common stock outstanding as of April 9, 2026, the record date for the meeting, 137,986,127 shares of common stock were represented at the meeting in person or by proxy, constituting 86.96% of the outstanding common stock entitled to vote. The matters voted upon at the meeting and the vote with respect to each such matter are set forth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98" w:lineRule="exact"/>
        <w:rPr>
          <w:sz w:val="20"/>
          <w:szCs w:val="20"/>
          <w:color w:val="auto"/>
        </w:rPr>
      </w:pPr>
    </w:p>
    <w:p>
      <w:pPr>
        <w:jc w:val="both"/>
        <w:ind w:right="240" w:firstLine="486"/>
        <w:spacing w:after="0" w:line="268" w:lineRule="auto"/>
        <w:rPr>
          <w:sz w:val="20"/>
          <w:szCs w:val="20"/>
          <w:color w:val="auto"/>
        </w:rPr>
      </w:pPr>
      <w:r>
        <w:rPr>
          <w:rFonts w:ascii="Arial" w:cs="Arial" w:eastAsia="Arial" w:hAnsi="Arial"/>
          <w:sz w:val="18"/>
          <w:szCs w:val="18"/>
          <w:color w:val="auto"/>
        </w:rPr>
        <w:t>Election of three Class III directors to hold office until the 2029 annual meeting of stockholders. Each of the following nominees was elected to serve as a Class III director, to hold office until the Company’s 2029 annual meeting of stockholders or until his or her respective successor has been duly elected and qualified or his or her earlier resignation or removal.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auto"/>
              </w:rPr>
              <w:t>Nominees</w:t>
            </w:r>
          </w:p>
        </w:tc>
        <w:tc>
          <w:tcPr>
            <w:tcW w:w="2340" w:type="dxa"/>
            <w:vAlign w:val="bottom"/>
            <w:gridSpan w:val="2"/>
          </w:tcPr>
          <w:p>
            <w:pPr>
              <w:ind w:left="980"/>
              <w:spacing w:after="0"/>
              <w:rPr>
                <w:sz w:val="20"/>
                <w:szCs w:val="20"/>
                <w:color w:val="auto"/>
              </w:rPr>
            </w:pPr>
            <w:r>
              <w:rPr>
                <w:rFonts w:ascii="Arial" w:cs="Arial" w:eastAsia="Arial" w:hAnsi="Arial"/>
                <w:sz w:val="16"/>
                <w:szCs w:val="16"/>
                <w:b w:val="1"/>
                <w:bCs w:val="1"/>
                <w:color w:val="auto"/>
              </w:rPr>
              <w:t>For</w:t>
            </w:r>
          </w:p>
        </w:tc>
        <w:tc>
          <w:tcPr>
            <w:tcW w:w="2360" w:type="dxa"/>
            <w:vAlign w:val="bottom"/>
            <w:gridSpan w:val="2"/>
          </w:tcPr>
          <w:p>
            <w:pPr>
              <w:ind w:left="780"/>
              <w:spacing w:after="0"/>
              <w:rPr>
                <w:sz w:val="20"/>
                <w:szCs w:val="20"/>
                <w:color w:val="auto"/>
              </w:rPr>
            </w:pPr>
            <w:r>
              <w:rPr>
                <w:rFonts w:ascii="Arial" w:cs="Arial" w:eastAsia="Arial" w:hAnsi="Arial"/>
                <w:sz w:val="16"/>
                <w:szCs w:val="16"/>
                <w:b w:val="1"/>
                <w:bCs w:val="1"/>
                <w:color w:val="auto"/>
              </w:rPr>
              <w:t>Withheld</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0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Jennifer Cook</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75,998,259</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48,847,029</w:t>
            </w:r>
          </w:p>
        </w:tc>
        <w:tc>
          <w:tcPr>
            <w:tcW w:w="1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13,140,839</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David Schenkein, M.D.</w:t>
            </w:r>
          </w:p>
        </w:tc>
        <w:tc>
          <w:tcPr>
            <w:tcW w:w="2240" w:type="dxa"/>
            <w:vAlign w:val="bottom"/>
          </w:tcPr>
          <w:p>
            <w:pPr>
              <w:jc w:val="center"/>
              <w:spacing w:after="0"/>
              <w:rPr>
                <w:sz w:val="20"/>
                <w:szCs w:val="20"/>
                <w:color w:val="auto"/>
              </w:rPr>
            </w:pPr>
            <w:r>
              <w:rPr>
                <w:rFonts w:ascii="Arial" w:cs="Arial" w:eastAsia="Arial" w:hAnsi="Arial"/>
                <w:sz w:val="16"/>
                <w:szCs w:val="16"/>
                <w:color w:val="auto"/>
                <w:w w:val="99"/>
              </w:rPr>
              <w:t>91,814,688</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33,030,600</w:t>
            </w:r>
          </w:p>
        </w:tc>
        <w:tc>
          <w:tcPr>
            <w:tcW w:w="1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rPr>
              <w:t>13,140,839</w:t>
            </w:r>
          </w:p>
        </w:tc>
      </w:tr>
      <w:tr>
        <w:trPr>
          <w:trHeight w:val="21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Watts, Ph.D.</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121,220,572</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3,624,716</w:t>
            </w:r>
          </w:p>
        </w:tc>
        <w:tc>
          <w:tcPr>
            <w:tcW w:w="12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13,140,839</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appointment of Ernst &amp; Young LLP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2026 was ratified based on the following results of voting: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w:t>
            </w:r>
          </w:p>
        </w:tc>
        <w:tc>
          <w:tcPr>
            <w:tcW w:w="2840" w:type="dxa"/>
            <w:vAlign w:val="bottom"/>
            <w:gridSpan w:val="2"/>
          </w:tcPr>
          <w:p>
            <w:pPr>
              <w:ind w:left="1060"/>
              <w:spacing w:after="0"/>
              <w:rPr>
                <w:sz w:val="20"/>
                <w:szCs w:val="20"/>
                <w:color w:val="auto"/>
              </w:rPr>
            </w:pPr>
            <w:r>
              <w:rPr>
                <w:rFonts w:ascii="Arial" w:cs="Arial" w:eastAsia="Arial" w:hAnsi="Arial"/>
                <w:sz w:val="16"/>
                <w:szCs w:val="16"/>
                <w:b w:val="1"/>
                <w:bCs w:val="1"/>
                <w:color w:val="auto"/>
              </w:rPr>
              <w:t>Against</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10"/>
        </w:trPr>
        <w:tc>
          <w:tcPr>
            <w:tcW w:w="27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137,516,267</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420,305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49,555</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Advisory Vote to Approve Executive Compensation</w:t>
      </w:r>
    </w:p>
    <w:p>
      <w:pPr>
        <w:spacing w:after="0" w:line="185" w:lineRule="exact"/>
        <w:rPr>
          <w:sz w:val="20"/>
          <w:szCs w:val="20"/>
          <w:color w:val="auto"/>
        </w:rPr>
      </w:pPr>
    </w:p>
    <w:p>
      <w:pPr>
        <w:ind w:right="580" w:firstLine="486"/>
        <w:spacing w:after="0" w:line="287" w:lineRule="auto"/>
        <w:rPr>
          <w:sz w:val="20"/>
          <w:szCs w:val="20"/>
          <w:color w:val="auto"/>
        </w:rPr>
      </w:pPr>
      <w:r>
        <w:rPr>
          <w:rFonts w:ascii="Arial" w:cs="Arial" w:eastAsia="Arial" w:hAnsi="Arial"/>
          <w:sz w:val="18"/>
          <w:szCs w:val="18"/>
          <w:color w:val="auto"/>
        </w:rPr>
        <w:t>The Company’s stockholders approved, on a non-binding, advisory basis, the compensation of the Company’s named executive officers as disclosed in the Proxy Statement.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For</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Against</w:t>
            </w:r>
          </w:p>
        </w:tc>
        <w:tc>
          <w:tcPr>
            <w:tcW w:w="2820" w:type="dxa"/>
            <w:vAlign w:val="bottom"/>
            <w:gridSpan w:val="2"/>
          </w:tcPr>
          <w:p>
            <w:pPr>
              <w:ind w:left="1060"/>
              <w:spacing w:after="0"/>
              <w:rPr>
                <w:sz w:val="20"/>
                <w:szCs w:val="20"/>
                <w:color w:val="auto"/>
              </w:rPr>
            </w:pPr>
            <w:r>
              <w:rPr>
                <w:rFonts w:ascii="Arial" w:cs="Arial" w:eastAsia="Arial" w:hAnsi="Arial"/>
                <w:sz w:val="16"/>
                <w:szCs w:val="16"/>
                <w:b w:val="1"/>
                <w:bCs w:val="1"/>
                <w:color w:val="auto"/>
              </w:rPr>
              <w:t>Abstain</w:t>
            </w: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10"/>
        </w:trPr>
        <w:tc>
          <w:tcPr>
            <w:tcW w:w="27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117,038,745</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7,088,810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717,733</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13,140,839</w:t>
            </w:r>
          </w:p>
        </w:tc>
      </w:tr>
    </w:tbl>
    <w:p>
      <w:pPr>
        <w:spacing w:after="0" w:line="3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2"/>
        </w:trPr>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429"/>
        </w:trPr>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80" w:type="dxa"/>
            <w:vAlign w:val="bottom"/>
          </w:tcPr>
          <w:p>
            <w:pPr>
              <w:spacing w:after="0"/>
              <w:rPr>
                <w:sz w:val="21"/>
                <w:szCs w:val="21"/>
                <w:color w:val="auto"/>
              </w:rPr>
            </w:pPr>
          </w:p>
        </w:tc>
        <w:tc>
          <w:tcPr>
            <w:tcW w:w="7420" w:type="dxa"/>
            <w:vAlign w:val="bottom"/>
            <w:gridSpan w:val="2"/>
          </w:tcPr>
          <w:p>
            <w:pPr>
              <w:ind w:left="2100"/>
              <w:spacing w:after="0"/>
              <w:rPr>
                <w:sz w:val="20"/>
                <w:szCs w:val="20"/>
                <w:color w:val="auto"/>
              </w:rPr>
            </w:pPr>
            <w:r>
              <w:rPr>
                <w:rFonts w:ascii="Arial" w:cs="Arial" w:eastAsia="Arial" w:hAnsi="Arial"/>
                <w:sz w:val="18"/>
                <w:szCs w:val="18"/>
                <w:b w:val="1"/>
                <w:bCs w:val="1"/>
                <w:color w:val="auto"/>
              </w:rPr>
              <w:t>DENALI THERAPEUTICS INC.</w:t>
            </w:r>
          </w:p>
        </w:tc>
      </w:tr>
      <w:tr>
        <w:trPr>
          <w:trHeight w:val="447"/>
        </w:trPr>
        <w:tc>
          <w:tcPr>
            <w:tcW w:w="3780" w:type="dxa"/>
            <w:vAlign w:val="bottom"/>
          </w:tcPr>
          <w:p>
            <w:pPr>
              <w:spacing w:after="0"/>
              <w:rPr>
                <w:sz w:val="20"/>
                <w:szCs w:val="20"/>
                <w:color w:val="auto"/>
              </w:rPr>
            </w:pPr>
            <w:r>
              <w:rPr>
                <w:rFonts w:ascii="Arial" w:cs="Arial" w:eastAsia="Arial" w:hAnsi="Arial"/>
                <w:sz w:val="18"/>
                <w:szCs w:val="18"/>
                <w:color w:val="auto"/>
              </w:rPr>
              <w:t>Date:  June 3, 2026</w:t>
            </w:r>
          </w:p>
        </w:tc>
        <w:tc>
          <w:tcPr>
            <w:tcW w:w="7420" w:type="dxa"/>
            <w:vAlign w:val="bottom"/>
            <w:gridSpan w:val="2"/>
          </w:tcPr>
          <w:p>
            <w:pPr>
              <w:ind w:left="2100"/>
              <w:spacing w:after="0"/>
              <w:rPr>
                <w:sz w:val="20"/>
                <w:szCs w:val="20"/>
                <w:color w:val="auto"/>
              </w:rPr>
            </w:pPr>
            <w:r>
              <w:rPr>
                <w:rFonts w:ascii="Arial" w:cs="Arial" w:eastAsia="Arial" w:hAnsi="Arial"/>
                <w:sz w:val="18"/>
                <w:szCs w:val="18"/>
                <w:color w:val="auto"/>
              </w:rPr>
              <w:t>By:  /s/ Alexander O. Schuth</w:t>
            </w:r>
          </w:p>
        </w:tc>
      </w:tr>
      <w:tr>
        <w:trPr>
          <w:trHeight w:val="218"/>
        </w:trPr>
        <w:tc>
          <w:tcPr>
            <w:tcW w:w="37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9"/>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pacing w:after="0" w:line="1" w:lineRule="exact"/>
        <w:rPr>
          <w:sz w:val="20"/>
          <w:szCs w:val="20"/>
          <w:color w:val="auto"/>
        </w:rPr>
      </w:pP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2026-06-04T05:07:55Z</dcterms:created>
  <dcterms:modified xsi:type="dcterms:W3CDTF">2026-06-04T05:07:55Z</dcterms:modified>
</cp:coreProperties>
</file>