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429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42988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FLATLEY JAY 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DENALI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161 OYSTER POINT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Denali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DNLI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7"/>
          </w:tcPr>
          <w:p>
            <w:pPr>
              <w:jc w:val="center"/>
              <w:ind w:right="39"/>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300" w:type="dxa"/>
            <w:vAlign w:val="bottom"/>
            <w:gridSpan w:val="5"/>
            <w:vMerge w:val="restart"/>
          </w:tcPr>
          <w:p>
            <w:pPr>
              <w:ind w:left="20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06/03/2026</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6,408</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ind w:right="281"/>
              <w:spacing w:after="0"/>
              <w:rPr>
                <w:sz w:val="20"/>
                <w:szCs w:val="20"/>
                <w:color w:val="auto"/>
              </w:rPr>
            </w:pPr>
            <w:r>
              <w:rPr>
                <w:rFonts w:ascii="Times New Roman" w:cs="Times New Roman" w:eastAsia="Times New Roman" w:hAnsi="Times New Roman"/>
                <w:sz w:val="17"/>
                <w:szCs w:val="17"/>
                <w:color w:val="0000FF"/>
              </w:rPr>
              <w:t>22,628</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right"/>
              <w:ind w:right="321"/>
              <w:spacing w:after="0"/>
              <w:rPr>
                <w:sz w:val="20"/>
                <w:szCs w:val="20"/>
                <w:color w:val="auto"/>
              </w:rPr>
            </w:pPr>
            <w:r>
              <w:rPr>
                <w:rFonts w:ascii="Times New Roman" w:cs="Times New Roman" w:eastAsia="Times New Roman" w:hAnsi="Times New Roman"/>
                <w:sz w:val="17"/>
                <w:szCs w:val="17"/>
                <w:color w:val="0000FF"/>
              </w:rPr>
              <w:t>336,313</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3"/>
          </w:tcPr>
          <w:p>
            <w:pPr>
              <w:jc w:val="center"/>
              <w:ind w:right="8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3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19.66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06/03/2026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19,226</w:t>
            </w:r>
          </w:p>
        </w:tc>
        <w:tc>
          <w:tcPr>
            <w:tcW w:w="360" w:type="dxa"/>
            <w:vAlign w:val="bottom"/>
          </w:tcPr>
          <w:p>
            <w:pPr>
              <w:spacing w:after="0"/>
              <w:rPr>
                <w:sz w:val="16"/>
                <w:szCs w:val="16"/>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0000FF"/>
                <w:w w:val="97"/>
              </w:rPr>
              <w:t>06/03/2036</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19,226</w:t>
            </w:r>
          </w:p>
        </w:tc>
        <w:tc>
          <w:tcPr>
            <w:tcW w:w="60" w:type="dxa"/>
            <w:vAlign w:val="bottom"/>
          </w:tcPr>
          <w:p>
            <w:pPr>
              <w:spacing w:after="0"/>
              <w:rPr>
                <w:sz w:val="16"/>
                <w:szCs w:val="16"/>
                <w:color w:val="auto"/>
              </w:rPr>
            </w:pPr>
          </w:p>
        </w:tc>
        <w:tc>
          <w:tcPr>
            <w:tcW w:w="66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19,226</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is represented by a Restricted Stock Unit ("RSU") and a contingent right to receive one share of common stock of the Issuer. 100% of the RSUs shall vest upon the earlier of (i) the one year anniversary of the grant date or (ii) the day preceding the Issuer's next annual meeting of stockholders occurring after the grant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6,408 unvested RSUs.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The Flatley Family Trust, for which the Reporting Person serves as a trustee.</w:t>
      </w:r>
    </w:p>
    <w:p>
      <w:pPr>
        <w:spacing w:after="0" w:line="43"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shall vest upon the earlier of (i) the one year anniversary of the grant date or (ii) the day preceding the Issuer's next annual meeting of stockholders occurring after the grant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Tyler Nielsen, by power of</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9130" TargetMode="External"/><Relationship Id="rId14" Type="http://schemas.openxmlformats.org/officeDocument/2006/relationships/hyperlink" Target="http://www.sec.gov/cgi-bin/browse-edgar?action=getcompany&amp;CIK=00017148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2026-06-05T15:59:27Z</dcterms:created>
  <dcterms:modified xsi:type="dcterms:W3CDTF">2026-06-05T15:59:27Z</dcterms:modified>
</cp:coreProperties>
</file>