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298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Krognes Steve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7"/>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06/03/2026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6,408</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81"/>
              <w:spacing w:after="0"/>
              <w:rPr>
                <w:sz w:val="20"/>
                <w:szCs w:val="20"/>
                <w:color w:val="auto"/>
              </w:rPr>
            </w:pPr>
            <w:r>
              <w:rPr>
                <w:rFonts w:ascii="Times New Roman" w:cs="Times New Roman" w:eastAsia="Times New Roman" w:hAnsi="Times New Roman"/>
                <w:sz w:val="17"/>
                <w:szCs w:val="17"/>
                <w:color w:val="0000FF"/>
              </w:rPr>
              <w:t>38,202</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781,797</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19,226</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06/03/2036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19,226</w:t>
            </w:r>
          </w:p>
        </w:tc>
        <w:tc>
          <w:tcPr>
            <w:tcW w:w="60" w:type="dxa"/>
            <w:vAlign w:val="bottom"/>
          </w:tcPr>
          <w:p>
            <w:pPr>
              <w:spacing w:after="0"/>
              <w:rPr>
                <w:sz w:val="16"/>
                <w:szCs w:val="16"/>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19,226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Steve Edward Krognes Revocable Trust U/A DTD 01/25/2016, for which the Reporting Person serves as trustee.</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6236"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2026-06-05T15:56:39Z</dcterms:created>
  <dcterms:modified xsi:type="dcterms:W3CDTF">2026-06-05T15:56:39Z</dcterms:modified>
</cp:coreProperties>
</file>