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February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Denali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5"/>
          <w:szCs w:val="15"/>
          <w:b w:val="1"/>
          <w:bCs w:val="1"/>
          <w:color w:val="auto"/>
        </w:rPr>
        <w:t>001-38311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46-3872213</w:t>
      </w:r>
    </w:p>
    <w:p>
      <w:pPr>
        <w:spacing w:after="0" w:line="31" w:lineRule="exact"/>
        <w:rPr>
          <w:sz w:val="24"/>
          <w:szCs w:val="24"/>
          <w:color w:val="auto"/>
        </w:rPr>
      </w:pPr>
    </w:p>
    <w:p>
      <w:pPr>
        <w:sectPr>
          <w:pgSz w:w="11900" w:h="16838" w:orient="portrait"/>
          <w:cols w:equalWidth="0" w:num="3">
            <w:col w:w="4524" w:space="720"/>
            <w:col w:w="286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161 Oyster Point Blvd.</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(650) 866-8548</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Arial" w:cs="Arial" w:eastAsia="Arial" w:hAnsi="Arial"/>
                <w:sz w:val="18"/>
                <w:szCs w:val="18"/>
                <w:b w:val="1"/>
                <w:bCs w:val="1"/>
                <w:color w:val="auto"/>
              </w:rPr>
              <w:t>DNLI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As previously announced, Denali Therapeutics Inc. (“Denali”) was informed on January 12, 2022, via e-mail communication from the U.S. Food and Drug Administration (FDA) that the DNL919 (ATV:TREM2) Investigational New Drug (IND) application to begin clinical testing was placed on clinical hold. Denali has now received a formal clinical hold letter and is moving forward to address the FDA’s observations related to the preclinical toxicology assessment and to provide the information requested to initiate clinical studies, including proposed changes to the clinical trial protocol, the informed consent form, and the investigator brochure. Denali intends to provide an update once a clear path forward has been established.</w:t>
      </w:r>
    </w:p>
    <w:p>
      <w:pPr>
        <w:spacing w:after="0" w:line="161"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The information furnished in this Item 7.01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Certain of the statements made in this report are forward looking, such as those, among others, relating to Denali’s plans regarding the submission of certain requested information to the FDA, proposed changes to the clinical trial protocol for DNL919 (ATV:TREM2), Denali’s expectations regarding the effects of the issues raised in the clinical hold letter and Denali’s intention to provide an update on the status of the clinical hold. Actual results or developments may differ materially from those projected or implied in these forward-looking statements. Factors that may cause such a difference include risks and uncertainties related to new or additional information received from the FDA, delays in reaching a consensus with regulatory agencies on trial designs, and delays in Denali’s clinical trials for its programs, including DNL919 (ATV:TREM2). More information about the risks and uncertainties faced by Denali may be found in Denali’s Annual and Quarterly Reports filed on Forms 10-K and 10-Q filed with the Securities and Exchange Commission (the “SEC”) on February 26, 2021, and November 4, 2021, respectively, and Denali’s future reports to be filed with the SEC. Denali does not undertake any obligation to update or revise any forward-looking statements, to conform these statements to actual results or to make changes in Denali’s expectations, except as required by law.</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DENALI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 E. Krognes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 E. Krognes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2022-02-14T05:40:06Z</dcterms:created>
  <dcterms:modified xsi:type="dcterms:W3CDTF">2022-02-14T05:40:06Z</dcterms:modified>
</cp:coreProperties>
</file>